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055" w:rsidRDefault="005F191E" w:rsidP="00494055">
      <w:pPr>
        <w:spacing w:after="0"/>
        <w:ind w:left="1440" w:firstLine="720"/>
      </w:pPr>
      <w:bookmarkStart w:id="0" w:name="_GoBack"/>
      <w:bookmarkEnd w:id="0"/>
      <w:r>
        <w:t>Chicago Brass Quintet</w:t>
      </w:r>
      <w:r w:rsidR="007D16D6">
        <w:t xml:space="preserve"> Sample </w:t>
      </w:r>
      <w:r>
        <w:t>Program</w:t>
      </w:r>
      <w:r w:rsidR="00494055">
        <w:t xml:space="preserve"> 2</w:t>
      </w:r>
      <w:r>
        <w:t xml:space="preserve"> </w:t>
      </w:r>
    </w:p>
    <w:p w:rsidR="00494055" w:rsidRDefault="00494055" w:rsidP="00494055">
      <w:pPr>
        <w:spacing w:after="0"/>
      </w:pPr>
    </w:p>
    <w:p w:rsidR="00AC0948" w:rsidRDefault="00AC0948" w:rsidP="00494055">
      <w:pPr>
        <w:spacing w:after="0"/>
      </w:pPr>
      <w:r>
        <w:t>Variations of a Theme by He</w:t>
      </w:r>
      <w:r w:rsidR="007D16D6">
        <w:t>nry Purcell</w:t>
      </w:r>
      <w:r w:rsidR="007D16D6">
        <w:tab/>
      </w:r>
      <w:r w:rsidR="007D16D6">
        <w:tab/>
      </w:r>
      <w:r w:rsidR="007D16D6">
        <w:tab/>
      </w:r>
      <w:r w:rsidR="007D16D6">
        <w:tab/>
        <w:t xml:space="preserve">Benjamin </w:t>
      </w:r>
      <w:proofErr w:type="gramStart"/>
      <w:r w:rsidR="007D16D6">
        <w:t>Britten(</w:t>
      </w:r>
      <w:proofErr w:type="gramEnd"/>
      <w:r w:rsidR="007D16D6">
        <w:t>1913-1976)</w:t>
      </w:r>
    </w:p>
    <w:p w:rsidR="00494055" w:rsidRPr="00494055" w:rsidRDefault="00494055" w:rsidP="00494055">
      <w:pPr>
        <w:spacing w:after="0"/>
        <w:rPr>
          <w:sz w:val="18"/>
          <w:szCs w:val="18"/>
        </w:rPr>
      </w:pPr>
      <w:r>
        <w:t xml:space="preserve">   </w:t>
      </w:r>
      <w:r w:rsidRPr="00494055">
        <w:rPr>
          <w:sz w:val="18"/>
          <w:szCs w:val="18"/>
        </w:rPr>
        <w:t>This is a new Chicago Brass Quintet arrangement of Benjamin Britten’s   the Variation &amp; Fugue from his “Guide to the Symphony for Young Musicians</w:t>
      </w:r>
      <w:proofErr w:type="gramStart"/>
      <w:r w:rsidRPr="00494055">
        <w:rPr>
          <w:sz w:val="18"/>
          <w:szCs w:val="18"/>
        </w:rPr>
        <w:t>”  which</w:t>
      </w:r>
      <w:proofErr w:type="gramEnd"/>
      <w:r w:rsidRPr="00494055">
        <w:rPr>
          <w:sz w:val="18"/>
          <w:szCs w:val="18"/>
        </w:rPr>
        <w:t xml:space="preserve"> has become a staple of the concert repertoire for Symphony Orchestras and most recently has received an even wider audience as part of the sound track for Morning Kingdom.</w:t>
      </w:r>
    </w:p>
    <w:p w:rsidR="00494055" w:rsidRDefault="00494055" w:rsidP="00AC0948">
      <w:pPr>
        <w:spacing w:after="0"/>
      </w:pPr>
    </w:p>
    <w:p w:rsidR="00494055" w:rsidRDefault="00494055" w:rsidP="00AC0948">
      <w:pPr>
        <w:spacing w:after="0"/>
      </w:pPr>
    </w:p>
    <w:p w:rsidR="00AC0948" w:rsidRDefault="00AC0948" w:rsidP="00AC0948">
      <w:pPr>
        <w:spacing w:after="0"/>
      </w:pPr>
      <w:r>
        <w:t>Second Suite in F</w:t>
      </w:r>
      <w:r>
        <w:tab/>
      </w:r>
      <w:r>
        <w:tab/>
      </w:r>
      <w:r>
        <w:tab/>
      </w:r>
      <w:r>
        <w:tab/>
      </w:r>
      <w:r>
        <w:tab/>
      </w:r>
      <w:r>
        <w:tab/>
        <w:t>Gustav Holst</w:t>
      </w:r>
      <w:r w:rsidR="007D16D6">
        <w:t xml:space="preserve"> </w:t>
      </w:r>
      <w:proofErr w:type="gramStart"/>
      <w:r w:rsidR="007D16D6">
        <w:t xml:space="preserve">( </w:t>
      </w:r>
      <w:r w:rsidR="008B56CA">
        <w:t>1874</w:t>
      </w:r>
      <w:proofErr w:type="gramEnd"/>
      <w:r w:rsidR="008B56CA">
        <w:t>-1934)</w:t>
      </w:r>
    </w:p>
    <w:p w:rsidR="00AC0948" w:rsidRDefault="00AC0948" w:rsidP="00AC0948">
      <w:pPr>
        <w:spacing w:after="0"/>
      </w:pPr>
      <w:r>
        <w:tab/>
      </w:r>
      <w:r>
        <w:tab/>
      </w:r>
      <w:r>
        <w:tab/>
      </w:r>
      <w:r>
        <w:tab/>
      </w:r>
      <w:r>
        <w:tab/>
      </w:r>
      <w:r>
        <w:tab/>
      </w:r>
      <w:r>
        <w:tab/>
      </w:r>
      <w:r w:rsidR="00494055">
        <w:tab/>
      </w:r>
      <w:proofErr w:type="gramStart"/>
      <w:r>
        <w:t>arr</w:t>
      </w:r>
      <w:proofErr w:type="gramEnd"/>
      <w:r>
        <w:t xml:space="preserve">. David </w:t>
      </w:r>
      <w:proofErr w:type="spellStart"/>
      <w:r>
        <w:t>Sabourin</w:t>
      </w:r>
      <w:proofErr w:type="spellEnd"/>
    </w:p>
    <w:p w:rsidR="00494055" w:rsidRPr="00494055" w:rsidRDefault="00494055" w:rsidP="00AC0948">
      <w:pPr>
        <w:spacing w:after="0"/>
        <w:rPr>
          <w:sz w:val="18"/>
          <w:szCs w:val="18"/>
        </w:rPr>
      </w:pPr>
      <w:r w:rsidRPr="00494055">
        <w:rPr>
          <w:sz w:val="18"/>
          <w:szCs w:val="18"/>
        </w:rPr>
        <w:t xml:space="preserve">During Holst's earlier years as a composer, he took interest in folk music, and wrote many pieces based on folk tunes. The </w:t>
      </w:r>
      <w:r w:rsidRPr="00494055">
        <w:rPr>
          <w:i/>
          <w:iCs/>
          <w:sz w:val="18"/>
          <w:szCs w:val="18"/>
        </w:rPr>
        <w:t>Second Suite</w:t>
      </w:r>
      <w:r w:rsidRPr="00494055">
        <w:rPr>
          <w:sz w:val="18"/>
          <w:szCs w:val="18"/>
        </w:rPr>
        <w:t>, written in 1911 and first published in 1922 was originally written for military band. Seven traditional tunes are compressed into the four movements of Holst's suite</w:t>
      </w:r>
    </w:p>
    <w:p w:rsidR="00AC0948" w:rsidRDefault="00AC0948" w:rsidP="00AC0948">
      <w:pPr>
        <w:spacing w:after="0"/>
      </w:pPr>
      <w:r>
        <w:t xml:space="preserve">   </w:t>
      </w:r>
      <w:r w:rsidR="00494055">
        <w:t xml:space="preserve"> </w:t>
      </w:r>
    </w:p>
    <w:p w:rsidR="00AC0948" w:rsidRDefault="00AC0948" w:rsidP="00AC0948">
      <w:pPr>
        <w:spacing w:after="0"/>
      </w:pPr>
      <w:r>
        <w:t>Fo</w:t>
      </w:r>
      <w:r w:rsidR="007D16D6">
        <w:t>lk Song Suite</w:t>
      </w:r>
      <w:r w:rsidR="007D16D6">
        <w:tab/>
      </w:r>
      <w:r w:rsidR="007D16D6">
        <w:tab/>
      </w:r>
      <w:r w:rsidR="007D16D6">
        <w:tab/>
      </w:r>
      <w:r w:rsidR="007D16D6">
        <w:tab/>
      </w:r>
      <w:r w:rsidR="007D16D6">
        <w:tab/>
      </w:r>
      <w:r w:rsidR="007D16D6">
        <w:tab/>
      </w:r>
      <w:r w:rsidR="007D16D6">
        <w:tab/>
      </w:r>
      <w:proofErr w:type="spellStart"/>
      <w:r w:rsidR="007D16D6">
        <w:t>Bela</w:t>
      </w:r>
      <w:proofErr w:type="spellEnd"/>
      <w:r w:rsidR="007D16D6">
        <w:t xml:space="preserve"> </w:t>
      </w:r>
      <w:proofErr w:type="gramStart"/>
      <w:r w:rsidR="007D16D6">
        <w:t>Bartok(</w:t>
      </w:r>
      <w:proofErr w:type="gramEnd"/>
      <w:r w:rsidR="007D16D6">
        <w:t>1881-1945)</w:t>
      </w:r>
    </w:p>
    <w:p w:rsidR="00494055" w:rsidRDefault="00494055" w:rsidP="00494055">
      <w:pPr>
        <w:pStyle w:val="Default"/>
        <w:rPr>
          <w:rFonts w:asciiTheme="minorHAnsi" w:hAnsiTheme="minorHAnsi"/>
          <w:iCs/>
          <w:sz w:val="20"/>
          <w:szCs w:val="20"/>
        </w:rPr>
      </w:pPr>
      <w:proofErr w:type="spellStart"/>
      <w:r w:rsidRPr="00494055">
        <w:rPr>
          <w:rFonts w:asciiTheme="minorHAnsi" w:hAnsiTheme="minorHAnsi"/>
          <w:sz w:val="18"/>
          <w:szCs w:val="18"/>
        </w:rPr>
        <w:t>Bela</w:t>
      </w:r>
      <w:proofErr w:type="spellEnd"/>
      <w:r w:rsidRPr="00494055">
        <w:rPr>
          <w:rFonts w:asciiTheme="minorHAnsi" w:hAnsiTheme="minorHAnsi"/>
          <w:sz w:val="18"/>
          <w:szCs w:val="18"/>
        </w:rPr>
        <w:t xml:space="preserve"> Bartok was one of the giants of 20th Century composition, equally at home writing for small or massive forces. All of Bartok’s music contains an intense dynamism and rhythmic strength. This collection is drawn from his </w:t>
      </w:r>
      <w:proofErr w:type="spellStart"/>
      <w:r w:rsidRPr="00494055">
        <w:rPr>
          <w:rFonts w:asciiTheme="minorHAnsi" w:hAnsiTheme="minorHAnsi"/>
          <w:i/>
          <w:iCs/>
          <w:sz w:val="18"/>
          <w:szCs w:val="18"/>
        </w:rPr>
        <w:t>Mikrokosmos</w:t>
      </w:r>
      <w:proofErr w:type="spellEnd"/>
      <w:r w:rsidRPr="00494055">
        <w:rPr>
          <w:rFonts w:asciiTheme="minorHAnsi" w:hAnsiTheme="minorHAnsi"/>
          <w:i/>
          <w:iCs/>
          <w:sz w:val="18"/>
          <w:szCs w:val="18"/>
        </w:rPr>
        <w:t xml:space="preserve"> </w:t>
      </w:r>
      <w:r w:rsidRPr="00494055">
        <w:rPr>
          <w:rFonts w:asciiTheme="minorHAnsi" w:hAnsiTheme="minorHAnsi"/>
          <w:sz w:val="18"/>
          <w:szCs w:val="18"/>
        </w:rPr>
        <w:t xml:space="preserve">and </w:t>
      </w:r>
      <w:r w:rsidRPr="00494055">
        <w:rPr>
          <w:rFonts w:asciiTheme="minorHAnsi" w:hAnsiTheme="minorHAnsi"/>
          <w:i/>
          <w:iCs/>
          <w:sz w:val="18"/>
          <w:szCs w:val="18"/>
        </w:rPr>
        <w:t xml:space="preserve">Dances for Orchestra </w:t>
      </w:r>
      <w:r w:rsidRPr="00494055">
        <w:rPr>
          <w:rFonts w:asciiTheme="minorHAnsi" w:hAnsiTheme="minorHAnsi"/>
          <w:iCs/>
          <w:sz w:val="18"/>
          <w:szCs w:val="18"/>
        </w:rPr>
        <w:t>and reflects his fascination with folk song like melodies and harmonies</w:t>
      </w:r>
      <w:r>
        <w:rPr>
          <w:rFonts w:asciiTheme="minorHAnsi" w:hAnsiTheme="minorHAnsi"/>
          <w:iCs/>
          <w:sz w:val="20"/>
          <w:szCs w:val="20"/>
        </w:rPr>
        <w:t>.</w:t>
      </w:r>
    </w:p>
    <w:p w:rsidR="00494055" w:rsidRDefault="00AC0948" w:rsidP="00AC0948">
      <w:pPr>
        <w:spacing w:after="0"/>
      </w:pPr>
      <w:r>
        <w:t xml:space="preserve"> </w:t>
      </w:r>
    </w:p>
    <w:p w:rsidR="00AC0948" w:rsidRDefault="00AC0948" w:rsidP="00AC0948">
      <w:pPr>
        <w:spacing w:after="0"/>
      </w:pPr>
      <w:proofErr w:type="spellStart"/>
      <w:r>
        <w:t>Balkanika</w:t>
      </w:r>
      <w:proofErr w:type="spellEnd"/>
      <w:r>
        <w:tab/>
      </w:r>
      <w:r>
        <w:tab/>
      </w:r>
      <w:r>
        <w:tab/>
      </w:r>
      <w:r>
        <w:tab/>
      </w:r>
      <w:r>
        <w:tab/>
      </w:r>
      <w:r>
        <w:tab/>
      </w:r>
      <w:r>
        <w:tab/>
        <w:t xml:space="preserve">Eric </w:t>
      </w:r>
      <w:proofErr w:type="spellStart"/>
      <w:r>
        <w:t>Ewazen</w:t>
      </w:r>
      <w:proofErr w:type="spellEnd"/>
    </w:p>
    <w:p w:rsidR="00AC0948" w:rsidRPr="00494055" w:rsidRDefault="00494055" w:rsidP="00AC0948">
      <w:pPr>
        <w:spacing w:after="0"/>
        <w:rPr>
          <w:sz w:val="18"/>
          <w:szCs w:val="18"/>
        </w:rPr>
      </w:pPr>
      <w:r>
        <w:rPr>
          <w:sz w:val="20"/>
          <w:szCs w:val="20"/>
        </w:rPr>
        <w:t xml:space="preserve"> </w:t>
      </w:r>
      <w:r w:rsidRPr="00494055">
        <w:rPr>
          <w:sz w:val="18"/>
          <w:szCs w:val="18"/>
        </w:rPr>
        <w:t xml:space="preserve">The work captures Eric </w:t>
      </w:r>
      <w:proofErr w:type="spellStart"/>
      <w:proofErr w:type="gramStart"/>
      <w:r w:rsidRPr="00494055">
        <w:rPr>
          <w:sz w:val="18"/>
          <w:szCs w:val="18"/>
        </w:rPr>
        <w:t>Ewazen’s</w:t>
      </w:r>
      <w:proofErr w:type="spellEnd"/>
      <w:r w:rsidRPr="00494055">
        <w:rPr>
          <w:sz w:val="18"/>
          <w:szCs w:val="18"/>
        </w:rPr>
        <w:t xml:space="preserve">  impressions</w:t>
      </w:r>
      <w:proofErr w:type="gramEnd"/>
      <w:r w:rsidRPr="00494055">
        <w:rPr>
          <w:sz w:val="18"/>
          <w:szCs w:val="18"/>
        </w:rPr>
        <w:t xml:space="preserve"> of the beautiful city of Zagreb and the surrounding country side and was influence by the lively culture and music of this wonderful Slavic region of Eastern Europe. Mr. </w:t>
      </w:r>
      <w:proofErr w:type="spellStart"/>
      <w:r w:rsidRPr="00494055">
        <w:rPr>
          <w:sz w:val="18"/>
          <w:szCs w:val="18"/>
        </w:rPr>
        <w:t>Ewazen</w:t>
      </w:r>
      <w:proofErr w:type="spellEnd"/>
      <w:r w:rsidRPr="00494055">
        <w:rPr>
          <w:sz w:val="18"/>
          <w:szCs w:val="18"/>
        </w:rPr>
        <w:t xml:space="preserve"> has made major contributions to the world of brass music and currently teaches composition at The Julliard School of Music.</w:t>
      </w:r>
    </w:p>
    <w:p w:rsidR="00AC0948" w:rsidRDefault="00AC0948" w:rsidP="00AC0948">
      <w:pPr>
        <w:spacing w:after="0"/>
      </w:pPr>
    </w:p>
    <w:p w:rsidR="00AC0948" w:rsidRDefault="00AC0948" w:rsidP="00AC0948">
      <w:pPr>
        <w:spacing w:after="0"/>
      </w:pPr>
      <w:r>
        <w:tab/>
      </w:r>
      <w:r>
        <w:tab/>
      </w:r>
      <w:r>
        <w:tab/>
      </w:r>
      <w:r>
        <w:tab/>
        <w:t>INTERMISSION</w:t>
      </w:r>
    </w:p>
    <w:p w:rsidR="00AC0948" w:rsidRDefault="00AC0948" w:rsidP="00AC0948">
      <w:pPr>
        <w:spacing w:after="0"/>
      </w:pPr>
    </w:p>
    <w:p w:rsidR="00AC0948" w:rsidRDefault="00AC0948" w:rsidP="00AC0948">
      <w:pPr>
        <w:spacing w:after="0"/>
      </w:pPr>
      <w:r>
        <w:t>Swing Low</w:t>
      </w:r>
      <w:r>
        <w:tab/>
      </w:r>
      <w:r>
        <w:tab/>
      </w:r>
      <w:r>
        <w:tab/>
      </w:r>
      <w:r>
        <w:tab/>
      </w:r>
      <w:r>
        <w:tab/>
      </w:r>
      <w:r>
        <w:tab/>
      </w:r>
      <w:r>
        <w:tab/>
        <w:t>Swing Low</w:t>
      </w:r>
    </w:p>
    <w:p w:rsidR="00AC0948" w:rsidRDefault="00AC0948" w:rsidP="00AC0948">
      <w:pPr>
        <w:spacing w:after="0"/>
      </w:pPr>
      <w:r>
        <w:tab/>
      </w:r>
      <w:r>
        <w:tab/>
      </w:r>
      <w:r>
        <w:tab/>
      </w:r>
      <w:r>
        <w:tab/>
      </w:r>
      <w:r>
        <w:tab/>
      </w:r>
      <w:r>
        <w:tab/>
      </w:r>
      <w:r>
        <w:tab/>
      </w:r>
      <w:r>
        <w:tab/>
        <w:t>Arr. Daniel Anderson</w:t>
      </w:r>
    </w:p>
    <w:p w:rsidR="00AC0948" w:rsidRDefault="00494055" w:rsidP="00AC0948">
      <w:pPr>
        <w:spacing w:after="0"/>
        <w:rPr>
          <w:rFonts w:cs="Goudy"/>
          <w:sz w:val="20"/>
          <w:szCs w:val="20"/>
        </w:rPr>
      </w:pPr>
      <w:r>
        <w:rPr>
          <w:rFonts w:cs="Goudy"/>
          <w:sz w:val="20"/>
          <w:szCs w:val="20"/>
        </w:rPr>
        <w:t xml:space="preserve">Based on a traditional spiritual, Swing Low takes the quintet through many different treatments of the work form new Orleans Second </w:t>
      </w:r>
      <w:proofErr w:type="gramStart"/>
      <w:r>
        <w:rPr>
          <w:rFonts w:cs="Goudy"/>
          <w:sz w:val="20"/>
          <w:szCs w:val="20"/>
        </w:rPr>
        <w:t>Line  through</w:t>
      </w:r>
      <w:proofErr w:type="gramEnd"/>
      <w:r>
        <w:rPr>
          <w:rFonts w:cs="Goudy"/>
          <w:sz w:val="20"/>
          <w:szCs w:val="20"/>
        </w:rPr>
        <w:t xml:space="preserve"> Swing and Dixie styles.</w:t>
      </w:r>
    </w:p>
    <w:p w:rsidR="005F191E" w:rsidRDefault="005F191E" w:rsidP="00AC0948">
      <w:pPr>
        <w:spacing w:after="0"/>
      </w:pPr>
    </w:p>
    <w:p w:rsidR="005F191E" w:rsidRDefault="00F50FE5" w:rsidP="00AC0948">
      <w:pPr>
        <w:spacing w:after="0"/>
      </w:pPr>
      <w:r>
        <w:t xml:space="preserve">Three Works by </w:t>
      </w:r>
      <w:r w:rsidR="007D16D6">
        <w:t>Joplin Suite</w:t>
      </w:r>
      <w:r w:rsidR="007D16D6">
        <w:tab/>
      </w:r>
      <w:r w:rsidR="007D16D6">
        <w:tab/>
      </w:r>
      <w:r w:rsidR="007D16D6">
        <w:tab/>
      </w:r>
      <w:r w:rsidR="007D16D6">
        <w:tab/>
      </w:r>
      <w:r w:rsidR="007D16D6">
        <w:tab/>
        <w:t>Scott Joplin (1868-1917)</w:t>
      </w:r>
    </w:p>
    <w:p w:rsidR="00494055" w:rsidRPr="00494055" w:rsidRDefault="005F191E" w:rsidP="00494055">
      <w:pPr>
        <w:autoSpaceDE w:val="0"/>
        <w:autoSpaceDN w:val="0"/>
        <w:adjustRightInd w:val="0"/>
        <w:spacing w:after="0" w:line="240" w:lineRule="auto"/>
        <w:rPr>
          <w:rFonts w:cs="Goudy"/>
          <w:sz w:val="18"/>
          <w:szCs w:val="18"/>
        </w:rPr>
      </w:pPr>
      <w:r w:rsidRPr="00494055">
        <w:rPr>
          <w:sz w:val="18"/>
          <w:szCs w:val="18"/>
        </w:rPr>
        <w:t xml:space="preserve">  </w:t>
      </w:r>
      <w:r w:rsidR="00494055" w:rsidRPr="00494055">
        <w:rPr>
          <w:rFonts w:cs="Goudy"/>
          <w:sz w:val="18"/>
          <w:szCs w:val="18"/>
        </w:rPr>
        <w:t xml:space="preserve">Born near Texarkana, Scott Joplin eventually found his way to the American music centers of his time St. Louis, Chicago and New </w:t>
      </w:r>
      <w:proofErr w:type="spellStart"/>
      <w:r w:rsidR="00494055" w:rsidRPr="00494055">
        <w:rPr>
          <w:rFonts w:cs="Goudy"/>
          <w:sz w:val="18"/>
          <w:szCs w:val="18"/>
        </w:rPr>
        <w:t>York.Along</w:t>
      </w:r>
      <w:proofErr w:type="spellEnd"/>
      <w:r w:rsidR="00494055" w:rsidRPr="00494055">
        <w:rPr>
          <w:rFonts w:cs="Goudy"/>
          <w:sz w:val="18"/>
          <w:szCs w:val="18"/>
        </w:rPr>
        <w:t xml:space="preserve"> the way he composed 44 ragtime pieces, two operas, a ballet and many works for chorus, making a unique contribution to American music for which he was awarded the 1976 Pulitzer Prize posthumously. This little mini-suite is composed of two rags, The Entertainer and Pineapple Rag framing the poignant choral work, When Your Hair is like the Snow.</w:t>
      </w:r>
    </w:p>
    <w:p w:rsidR="005F191E" w:rsidRDefault="005F191E" w:rsidP="00AC0948">
      <w:pPr>
        <w:spacing w:after="0"/>
      </w:pPr>
    </w:p>
    <w:p w:rsidR="005F191E" w:rsidRDefault="005B0431" w:rsidP="00AC0948">
      <w:pPr>
        <w:spacing w:after="0"/>
      </w:pPr>
      <w:r>
        <w:t xml:space="preserve">A </w:t>
      </w:r>
      <w:r w:rsidR="0068516C">
        <w:t>Night in Tunisia</w:t>
      </w:r>
      <w:r>
        <w:tab/>
      </w:r>
      <w:r>
        <w:tab/>
      </w:r>
      <w:r>
        <w:tab/>
      </w:r>
      <w:r>
        <w:tab/>
      </w:r>
      <w:r>
        <w:tab/>
      </w:r>
      <w:r>
        <w:tab/>
        <w:t>Dizzy Gillespie</w:t>
      </w:r>
      <w:r w:rsidR="007D16D6">
        <w:t xml:space="preserve"> (1917-1993)</w:t>
      </w:r>
    </w:p>
    <w:p w:rsidR="007D16D6" w:rsidRDefault="005B0431" w:rsidP="007D16D6">
      <w:pPr>
        <w:spacing w:after="0"/>
      </w:pPr>
      <w:r>
        <w:tab/>
      </w:r>
      <w:r>
        <w:tab/>
      </w:r>
      <w:r>
        <w:tab/>
      </w:r>
      <w:r>
        <w:tab/>
      </w:r>
      <w:r>
        <w:tab/>
      </w:r>
      <w:r>
        <w:tab/>
      </w:r>
      <w:r>
        <w:tab/>
      </w:r>
      <w:r>
        <w:tab/>
        <w:t>Arr. Dan Anderson</w:t>
      </w:r>
    </w:p>
    <w:p w:rsidR="007D16D6" w:rsidRPr="007D16D6" w:rsidRDefault="007D16D6" w:rsidP="007D16D6">
      <w:pPr>
        <w:spacing w:after="0"/>
      </w:pPr>
      <w:r w:rsidRPr="007D16D6">
        <w:rPr>
          <w:sz w:val="18"/>
          <w:szCs w:val="18"/>
        </w:rPr>
        <w:t xml:space="preserve">Dizzy Gillespie’s contributions to the world of jazz as both a trumpeter and composer cannot be over stated. </w:t>
      </w:r>
      <w:r w:rsidRPr="007D16D6">
        <w:rPr>
          <w:b/>
          <w:sz w:val="18"/>
          <w:szCs w:val="18"/>
        </w:rPr>
        <w:t>“</w:t>
      </w:r>
      <w:r w:rsidRPr="007D16D6">
        <w:rPr>
          <w:sz w:val="18"/>
          <w:szCs w:val="18"/>
        </w:rPr>
        <w:t xml:space="preserve">Night in Tunisia" was one of </w:t>
      </w:r>
      <w:proofErr w:type="gramStart"/>
      <w:r w:rsidRPr="007D16D6">
        <w:rPr>
          <w:sz w:val="18"/>
          <w:szCs w:val="18"/>
        </w:rPr>
        <w:t>his  signature</w:t>
      </w:r>
      <w:proofErr w:type="gramEnd"/>
      <w:r w:rsidRPr="007D16D6">
        <w:rPr>
          <w:sz w:val="18"/>
          <w:szCs w:val="18"/>
        </w:rPr>
        <w:t xml:space="preserve"> pieces.  The song appears as the title track of 30 CDs and is included in over 500 currently available CDs. In January 2004, The Recording Academy added the Dizzy Gillespie &amp; His Sextet’s 1946 Victor recording of “Night in Tunisia” to its Grammy Hall of Fame.</w:t>
      </w:r>
    </w:p>
    <w:p w:rsidR="00AC0948" w:rsidRDefault="00AC0948" w:rsidP="00AC0948">
      <w:pPr>
        <w:spacing w:after="0"/>
      </w:pPr>
      <w:r>
        <w:tab/>
      </w:r>
      <w:r>
        <w:tab/>
        <w:t xml:space="preserve">            </w:t>
      </w:r>
      <w:r>
        <w:tab/>
      </w:r>
    </w:p>
    <w:p w:rsidR="007D16D6" w:rsidRDefault="007D16D6" w:rsidP="007D16D6">
      <w:pPr>
        <w:autoSpaceDE w:val="0"/>
        <w:autoSpaceDN w:val="0"/>
        <w:adjustRightInd w:val="0"/>
        <w:spacing w:after="0" w:line="240" w:lineRule="auto"/>
        <w:rPr>
          <w:sz w:val="20"/>
          <w:szCs w:val="20"/>
        </w:rPr>
      </w:pPr>
      <w:r>
        <w:rPr>
          <w:rFonts w:cs="Goudy"/>
          <w:b/>
          <w:sz w:val="20"/>
          <w:szCs w:val="20"/>
        </w:rPr>
        <w:t xml:space="preserve">The Sound Of Music   </w:t>
      </w:r>
      <w:r>
        <w:rPr>
          <w:rFonts w:cs="Goudy"/>
          <w:b/>
          <w:sz w:val="20"/>
          <w:szCs w:val="20"/>
        </w:rPr>
        <w:tab/>
      </w:r>
      <w:r>
        <w:rPr>
          <w:rFonts w:cs="Goudy"/>
          <w:b/>
          <w:sz w:val="20"/>
          <w:szCs w:val="20"/>
        </w:rPr>
        <w:tab/>
      </w:r>
      <w:r>
        <w:rPr>
          <w:rFonts w:cs="Goudy"/>
          <w:b/>
          <w:sz w:val="20"/>
          <w:szCs w:val="20"/>
        </w:rPr>
        <w:tab/>
      </w:r>
      <w:r>
        <w:rPr>
          <w:rFonts w:cs="Goudy"/>
          <w:b/>
          <w:sz w:val="20"/>
          <w:szCs w:val="20"/>
        </w:rPr>
        <w:tab/>
      </w:r>
      <w:r>
        <w:rPr>
          <w:rFonts w:cs="Goudy"/>
          <w:b/>
          <w:sz w:val="20"/>
          <w:szCs w:val="20"/>
        </w:rPr>
        <w:tab/>
      </w:r>
      <w:r>
        <w:rPr>
          <w:rFonts w:cs="Goudy"/>
          <w:b/>
          <w:sz w:val="20"/>
          <w:szCs w:val="20"/>
        </w:rPr>
        <w:tab/>
        <w:t>Richard Rogers  (1902-1979)</w:t>
      </w:r>
      <w:r w:rsidRPr="007D16D6">
        <w:rPr>
          <w:sz w:val="20"/>
          <w:szCs w:val="20"/>
        </w:rPr>
        <w:t xml:space="preserve"> </w:t>
      </w:r>
    </w:p>
    <w:p w:rsidR="007D16D6" w:rsidRDefault="007D16D6" w:rsidP="007D16D6">
      <w:pPr>
        <w:autoSpaceDE w:val="0"/>
        <w:autoSpaceDN w:val="0"/>
        <w:adjustRightInd w:val="0"/>
        <w:spacing w:after="0" w:line="240" w:lineRule="auto"/>
        <w:rPr>
          <w:i/>
          <w:iCs/>
          <w:sz w:val="20"/>
          <w:szCs w:val="20"/>
        </w:rPr>
      </w:pPr>
      <w:r>
        <w:rPr>
          <w:sz w:val="20"/>
          <w:szCs w:val="20"/>
        </w:rPr>
        <w:t xml:space="preserve">The Sound of Music was the final collaboration between composer Richard Rodgers and lyricist Oscar Hammerstein II who passed away nine months after the opening.  </w:t>
      </w:r>
      <w:r>
        <w:rPr>
          <w:i/>
          <w:iCs/>
          <w:sz w:val="20"/>
          <w:szCs w:val="20"/>
        </w:rPr>
        <w:t xml:space="preserve">It </w:t>
      </w:r>
      <w:r>
        <w:rPr>
          <w:sz w:val="20"/>
          <w:szCs w:val="20"/>
        </w:rPr>
        <w:t xml:space="preserve">is based on Maria Von Trapp's autobiography </w:t>
      </w:r>
      <w:r>
        <w:rPr>
          <w:i/>
          <w:iCs/>
          <w:sz w:val="20"/>
          <w:szCs w:val="20"/>
        </w:rPr>
        <w:t>The Story of the Trapp Family Singers. Through its’ many stage adaptations and film</w:t>
      </w:r>
    </w:p>
    <w:p w:rsidR="007D16D6" w:rsidRDefault="007D16D6" w:rsidP="007D16D6">
      <w:pPr>
        <w:autoSpaceDE w:val="0"/>
        <w:autoSpaceDN w:val="0"/>
        <w:adjustRightInd w:val="0"/>
        <w:spacing w:after="0" w:line="240" w:lineRule="auto"/>
        <w:rPr>
          <w:rFonts w:cs="Goudy"/>
          <w:b/>
          <w:sz w:val="20"/>
          <w:szCs w:val="20"/>
        </w:rPr>
      </w:pPr>
      <w:proofErr w:type="gramStart"/>
      <w:r>
        <w:rPr>
          <w:i/>
          <w:iCs/>
          <w:sz w:val="20"/>
          <w:szCs w:val="20"/>
        </w:rPr>
        <w:t>it</w:t>
      </w:r>
      <w:proofErr w:type="gramEnd"/>
      <w:r>
        <w:rPr>
          <w:i/>
          <w:iCs/>
          <w:sz w:val="20"/>
          <w:szCs w:val="20"/>
        </w:rPr>
        <w:t xml:space="preserve"> has become on the best loved examples of American Musical theater. </w:t>
      </w:r>
    </w:p>
    <w:p w:rsidR="007D16D6" w:rsidRDefault="007D16D6" w:rsidP="007D16D6">
      <w:pPr>
        <w:autoSpaceDE w:val="0"/>
        <w:autoSpaceDN w:val="0"/>
        <w:adjustRightInd w:val="0"/>
        <w:spacing w:after="0" w:line="240" w:lineRule="auto"/>
        <w:rPr>
          <w:i/>
          <w:iCs/>
          <w:sz w:val="20"/>
          <w:szCs w:val="20"/>
        </w:rPr>
      </w:pPr>
      <w:r>
        <w:rPr>
          <w:i/>
          <w:iCs/>
          <w:sz w:val="20"/>
          <w:szCs w:val="20"/>
        </w:rPr>
        <w:t>.</w:t>
      </w:r>
    </w:p>
    <w:p w:rsidR="00AC0948" w:rsidRDefault="00AC0948"/>
    <w:sectPr w:rsidR="00AC0948" w:rsidSect="007D16D6">
      <w:pgSz w:w="12240" w:h="15840"/>
      <w:pgMar w:top="86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oudy">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5E0A"/>
    <w:multiLevelType w:val="hybridMultilevel"/>
    <w:tmpl w:val="1B480598"/>
    <w:lvl w:ilvl="0" w:tplc="94C001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948"/>
    <w:rsid w:val="00175768"/>
    <w:rsid w:val="00394A71"/>
    <w:rsid w:val="00494055"/>
    <w:rsid w:val="005B0431"/>
    <w:rsid w:val="005C4312"/>
    <w:rsid w:val="005F191E"/>
    <w:rsid w:val="00677C74"/>
    <w:rsid w:val="0068516C"/>
    <w:rsid w:val="0073390B"/>
    <w:rsid w:val="007D16D6"/>
    <w:rsid w:val="0082523C"/>
    <w:rsid w:val="008B56CA"/>
    <w:rsid w:val="00AC0948"/>
    <w:rsid w:val="00E0221B"/>
    <w:rsid w:val="00EA59FA"/>
    <w:rsid w:val="00F50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1E"/>
    <w:pPr>
      <w:ind w:left="720"/>
      <w:contextualSpacing/>
    </w:pPr>
  </w:style>
  <w:style w:type="paragraph" w:customStyle="1" w:styleId="Default">
    <w:name w:val="Default"/>
    <w:rsid w:val="0049405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1E"/>
    <w:pPr>
      <w:ind w:left="720"/>
      <w:contextualSpacing/>
    </w:pPr>
  </w:style>
  <w:style w:type="paragraph" w:customStyle="1" w:styleId="Default">
    <w:name w:val="Default"/>
    <w:rsid w:val="004940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28353">
      <w:bodyDiv w:val="1"/>
      <w:marLeft w:val="0"/>
      <w:marRight w:val="0"/>
      <w:marTop w:val="0"/>
      <w:marBottom w:val="0"/>
      <w:divBdr>
        <w:top w:val="none" w:sz="0" w:space="0" w:color="auto"/>
        <w:left w:val="none" w:sz="0" w:space="0" w:color="auto"/>
        <w:bottom w:val="none" w:sz="0" w:space="0" w:color="auto"/>
        <w:right w:val="none" w:sz="0" w:space="0" w:color="auto"/>
      </w:divBdr>
    </w:div>
    <w:div w:id="812940242">
      <w:bodyDiv w:val="1"/>
      <w:marLeft w:val="0"/>
      <w:marRight w:val="0"/>
      <w:marTop w:val="0"/>
      <w:marBottom w:val="0"/>
      <w:divBdr>
        <w:top w:val="none" w:sz="0" w:space="0" w:color="auto"/>
        <w:left w:val="none" w:sz="0" w:space="0" w:color="auto"/>
        <w:bottom w:val="none" w:sz="0" w:space="0" w:color="auto"/>
        <w:right w:val="none" w:sz="0" w:space="0" w:color="auto"/>
      </w:divBdr>
    </w:div>
    <w:div w:id="837423870">
      <w:bodyDiv w:val="1"/>
      <w:marLeft w:val="0"/>
      <w:marRight w:val="0"/>
      <w:marTop w:val="0"/>
      <w:marBottom w:val="0"/>
      <w:divBdr>
        <w:top w:val="none" w:sz="0" w:space="0" w:color="auto"/>
        <w:left w:val="none" w:sz="0" w:space="0" w:color="auto"/>
        <w:bottom w:val="none" w:sz="0" w:space="0" w:color="auto"/>
        <w:right w:val="none" w:sz="0" w:space="0" w:color="auto"/>
      </w:divBdr>
    </w:div>
    <w:div w:id="1302618753">
      <w:bodyDiv w:val="1"/>
      <w:marLeft w:val="0"/>
      <w:marRight w:val="0"/>
      <w:marTop w:val="0"/>
      <w:marBottom w:val="0"/>
      <w:divBdr>
        <w:top w:val="none" w:sz="0" w:space="0" w:color="auto"/>
        <w:left w:val="none" w:sz="0" w:space="0" w:color="auto"/>
        <w:bottom w:val="none" w:sz="0" w:space="0" w:color="auto"/>
        <w:right w:val="none" w:sz="0" w:space="0" w:color="auto"/>
      </w:divBdr>
    </w:div>
    <w:div w:id="209027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rbeacraf</dc:creator>
  <cp:lastModifiedBy>Judy Valenti</cp:lastModifiedBy>
  <cp:revision>2</cp:revision>
  <cp:lastPrinted>2012-09-06T18:08:00Z</cp:lastPrinted>
  <dcterms:created xsi:type="dcterms:W3CDTF">2014-09-15T18:48:00Z</dcterms:created>
  <dcterms:modified xsi:type="dcterms:W3CDTF">2014-09-15T18:48:00Z</dcterms:modified>
</cp:coreProperties>
</file>